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F57A8" w14:textId="7E6D870A" w:rsidR="00DE6C20" w:rsidRPr="00E5473D" w:rsidRDefault="00DE6C20" w:rsidP="00DE6C20">
      <w:pPr>
        <w:pStyle w:val="CRCoverPage"/>
        <w:tabs>
          <w:tab w:val="right" w:pos="9639"/>
        </w:tabs>
        <w:rPr>
          <w:b/>
          <w:noProof/>
          <w:sz w:val="24"/>
          <w:szCs w:val="24"/>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#102-e                                                   R1-2</w:t>
      </w:r>
      <w:r w:rsidR="0090338E">
        <w:rPr>
          <w:b/>
          <w:noProof/>
          <w:sz w:val="24"/>
        </w:rPr>
        <w:t>006502</w:t>
      </w:r>
      <w:r>
        <w:rPr>
          <w:b/>
          <w:i/>
          <w:noProof/>
          <w:sz w:val="28"/>
        </w:rPr>
        <w:tab/>
      </w:r>
    </w:p>
    <w:p w14:paraId="60A2AA43" w14:textId="77777777" w:rsidR="00DE6C20" w:rsidRPr="000C3D4F" w:rsidRDefault="00DE6C20" w:rsidP="00DE6C20">
      <w:pPr>
        <w:pStyle w:val="CRCoverPage"/>
        <w:outlineLvl w:val="0"/>
        <w:rPr>
          <w:rFonts w:eastAsia="MS Mincho" w:cs="Arial"/>
          <w:b/>
          <w:bCs/>
          <w:sz w:val="24"/>
          <w:szCs w:val="24"/>
          <w:lang w:eastAsia="ja-JP"/>
        </w:rPr>
      </w:pPr>
      <w:r w:rsidRPr="008573AD">
        <w:rPr>
          <w:rFonts w:eastAsia="MS Mincho" w:cs="Arial"/>
          <w:b/>
          <w:bCs/>
          <w:sz w:val="24"/>
          <w:szCs w:val="24"/>
          <w:lang w:eastAsia="ja-JP"/>
        </w:rPr>
        <w:t>e-Meeting, August 17</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xml:space="preserve"> – 28</w:t>
      </w:r>
      <w:r w:rsidRPr="008573AD">
        <w:rPr>
          <w:rFonts w:eastAsia="MS Mincho" w:cs="Arial"/>
          <w:b/>
          <w:bCs/>
          <w:sz w:val="24"/>
          <w:szCs w:val="24"/>
          <w:vertAlign w:val="superscript"/>
          <w:lang w:eastAsia="ja-JP"/>
        </w:rPr>
        <w:t>th</w:t>
      </w:r>
      <w:r w:rsidRPr="008573AD">
        <w:rPr>
          <w:rFonts w:eastAsia="MS Mincho" w:cs="Arial"/>
          <w:b/>
          <w:bCs/>
          <w:sz w:val="24"/>
          <w:szCs w:val="24"/>
          <w:lang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0784C2F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w:t>
      </w:r>
      <w:r w:rsidR="006E585B">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3F22A73"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8F535A">
        <w:rPr>
          <w:sz w:val="22"/>
          <w:szCs w:val="22"/>
        </w:rPr>
        <w:t>Multi-TRP</w:t>
      </w:r>
      <w:r w:rsidR="004B4D8D">
        <w:rPr>
          <w:sz w:val="22"/>
          <w:szCs w:val="22"/>
        </w:rPr>
        <w:t xml:space="preserve"> </w:t>
      </w:r>
      <w:r w:rsidR="006E585B">
        <w:rPr>
          <w:sz w:val="22"/>
          <w:szCs w:val="22"/>
        </w:rPr>
        <w:t xml:space="preserve">Beam Management </w:t>
      </w:r>
      <w:r w:rsidR="004B4D8D">
        <w:rPr>
          <w:sz w:val="22"/>
          <w:szCs w:val="22"/>
        </w:rPr>
        <w:t>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2CAE1D92" w:rsidR="00FA538C" w:rsidRDefault="00FA538C" w:rsidP="00FA538C">
      <w:pPr>
        <w:pStyle w:val="0Maintext"/>
        <w:spacing w:after="120" w:afterAutospacing="0" w:line="240" w:lineRule="auto"/>
        <w:ind w:firstLine="0"/>
        <w:rPr>
          <w:lang w:val="en-US"/>
        </w:rPr>
      </w:pPr>
      <w:r>
        <w:rPr>
          <w:lang w:val="en-US"/>
        </w:rPr>
        <w:t xml:space="preserve">In RP-193133, the following objectives </w:t>
      </w:r>
      <w:r w:rsidR="008F535A">
        <w:rPr>
          <w:lang w:val="en-US"/>
        </w:rPr>
        <w:t>on multi-TRP</w:t>
      </w:r>
      <w:r>
        <w:rPr>
          <w:lang w:val="en-US"/>
        </w:rPr>
        <w:t xml:space="preserve"> </w:t>
      </w:r>
      <w:r w:rsidR="006E585B">
        <w:rPr>
          <w:lang w:val="en-US"/>
        </w:rPr>
        <w:t xml:space="preserve">beam management </w:t>
      </w:r>
      <w:r>
        <w:rPr>
          <w:lang w:val="en-US"/>
        </w:rPr>
        <w:t>enhancement has been agreed.</w:t>
      </w:r>
    </w:p>
    <w:tbl>
      <w:tblPr>
        <w:tblStyle w:val="TableGrid"/>
        <w:tblW w:w="0" w:type="auto"/>
        <w:tblLook w:val="04A0" w:firstRow="1" w:lastRow="0" w:firstColumn="1" w:lastColumn="0" w:noHBand="0" w:noVBand="1"/>
      </w:tblPr>
      <w:tblGrid>
        <w:gridCol w:w="9010"/>
      </w:tblGrid>
      <w:tr w:rsidR="00FA538C" w14:paraId="3ECC7DF1" w14:textId="77777777" w:rsidTr="00B9698A">
        <w:tc>
          <w:tcPr>
            <w:tcW w:w="9010" w:type="dxa"/>
          </w:tcPr>
          <w:p w14:paraId="1BB83AD7" w14:textId="77777777" w:rsidR="00FA538C" w:rsidRPr="0051690F" w:rsidRDefault="00FA538C" w:rsidP="00FA538C">
            <w:pPr>
              <w:pStyle w:val="ListParagraph"/>
              <w:numPr>
                <w:ilvl w:val="0"/>
                <w:numId w:val="22"/>
              </w:numPr>
              <w:ind w:leftChars="0" w:left="720"/>
              <w:jc w:val="both"/>
            </w:pPr>
            <w:r w:rsidRPr="0051690F">
              <w:t>Enhancement on the support for multi-TRP deployment, targeting both FR1 and FR2:</w:t>
            </w:r>
          </w:p>
          <w:p w14:paraId="05B6090D" w14:textId="77777777" w:rsidR="00FA538C" w:rsidRPr="008F535A" w:rsidRDefault="00FA538C" w:rsidP="00FA538C">
            <w:pPr>
              <w:pStyle w:val="ListParagraph"/>
              <w:numPr>
                <w:ilvl w:val="1"/>
                <w:numId w:val="22"/>
              </w:numPr>
              <w:ind w:leftChars="0" w:left="1440"/>
              <w:jc w:val="both"/>
            </w:pPr>
            <w:r w:rsidRPr="008F535A">
              <w:t xml:space="preserve">Identify and specify features to improve reliability and robustness for channels other than PDSCH (that is, PDCCH, PUSCH, and PUCCH) using multi-TRP and/or multi-panel, with Rel.16 reliability features as the baseline </w:t>
            </w:r>
          </w:p>
          <w:p w14:paraId="32E92D48" w14:textId="77777777" w:rsidR="00FA538C" w:rsidRPr="006E585B" w:rsidRDefault="00FA538C" w:rsidP="00FA538C">
            <w:pPr>
              <w:pStyle w:val="ListParagraph"/>
              <w:numPr>
                <w:ilvl w:val="1"/>
                <w:numId w:val="22"/>
              </w:numPr>
              <w:ind w:leftChars="0" w:left="1440"/>
              <w:jc w:val="both"/>
            </w:pPr>
            <w:r w:rsidRPr="006E585B">
              <w:t>Identify and specify QCL/TCI-related enhancements to enable inter-cell multi-TRP operations, assuming multi-DCI based multi-PDSCH reception</w:t>
            </w:r>
          </w:p>
          <w:p w14:paraId="287216ED" w14:textId="77777777" w:rsidR="00FA538C" w:rsidRPr="006E585B" w:rsidRDefault="00FA538C" w:rsidP="00FA538C">
            <w:pPr>
              <w:pStyle w:val="ListParagraph"/>
              <w:numPr>
                <w:ilvl w:val="1"/>
                <w:numId w:val="22"/>
              </w:numPr>
              <w:ind w:leftChars="0" w:left="1440"/>
              <w:jc w:val="both"/>
              <w:rPr>
                <w:highlight w:val="yellow"/>
              </w:rPr>
            </w:pPr>
            <w:r w:rsidRPr="006E585B">
              <w:rPr>
                <w:highlight w:val="yellow"/>
              </w:rPr>
              <w:t>Evaluate and, if needed, specify beam-management-related enhancements for simultaneous multi-TRP transmission with multi-panel reception</w:t>
            </w:r>
          </w:p>
          <w:p w14:paraId="0BC161A3" w14:textId="77777777" w:rsidR="00FA538C" w:rsidRDefault="00FA538C" w:rsidP="00FA538C">
            <w:pPr>
              <w:pStyle w:val="ListParagraph"/>
              <w:numPr>
                <w:ilvl w:val="1"/>
                <w:numId w:val="22"/>
              </w:numPr>
              <w:ind w:leftChars="0" w:left="1440"/>
              <w:jc w:val="both"/>
            </w:pPr>
            <w:r>
              <w:t>E</w:t>
            </w:r>
            <w:r w:rsidRPr="00FC3465">
              <w:t>nhancement to support HST-SFN deployment scenario:</w:t>
            </w:r>
          </w:p>
          <w:p w14:paraId="14CB51A1" w14:textId="77777777" w:rsidR="00FA538C" w:rsidRDefault="00FA538C" w:rsidP="00FA538C">
            <w:pPr>
              <w:pStyle w:val="ListParagraph"/>
              <w:numPr>
                <w:ilvl w:val="2"/>
                <w:numId w:val="22"/>
              </w:numPr>
              <w:ind w:leftChars="0" w:left="2160"/>
              <w:jc w:val="both"/>
            </w:pPr>
            <w:r>
              <w:t xml:space="preserve">Identify and specify solution(s) on </w:t>
            </w:r>
            <w:r w:rsidRPr="00FC3465">
              <w:t>QCL assumption for DMRS, e.g. multiple QCL assumptions for the same DMRS port(s)</w:t>
            </w:r>
            <w:r>
              <w:t>, targeting DL-only transmission</w:t>
            </w:r>
          </w:p>
          <w:p w14:paraId="4F733173" w14:textId="77777777" w:rsidR="00FA538C" w:rsidRDefault="00FA538C" w:rsidP="00FA538C">
            <w:pPr>
              <w:pStyle w:val="ListParagraph"/>
              <w:numPr>
                <w:ilvl w:val="2"/>
                <w:numId w:val="22"/>
              </w:numPr>
              <w:ind w:leftChars="0" w:left="2160"/>
              <w:jc w:val="both"/>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5F32E6C8" w14:textId="77777777" w:rsidR="00FA538C" w:rsidRPr="00C5338B" w:rsidRDefault="00FA538C" w:rsidP="00FA538C">
            <w:pPr>
              <w:pStyle w:val="ListParagraph"/>
              <w:ind w:leftChars="0" w:left="3240" w:firstLine="0"/>
              <w:jc w:val="both"/>
              <w:rPr>
                <w:lang w:val="en-US"/>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2CF026D4" w:rsidR="00FA538C" w:rsidRPr="0005612B" w:rsidRDefault="00FA538C" w:rsidP="00FA538C">
      <w:pPr>
        <w:pStyle w:val="0Maintext"/>
        <w:spacing w:after="120" w:afterAutospacing="0" w:line="240" w:lineRule="auto"/>
        <w:ind w:firstLine="0"/>
        <w:rPr>
          <w:lang w:val="en-US"/>
        </w:rPr>
      </w:pPr>
      <w:r>
        <w:rPr>
          <w:lang w:val="en-US"/>
        </w:rPr>
        <w:t xml:space="preserve">In this contribution, we provide some discussion on </w:t>
      </w:r>
      <w:r w:rsidR="008F535A">
        <w:rPr>
          <w:lang w:val="en-US"/>
        </w:rPr>
        <w:t>inter-cell multi-TRP</w:t>
      </w:r>
      <w:r>
        <w:rPr>
          <w:lang w:val="en-US"/>
        </w:rPr>
        <w:t xml:space="preserve"> enhancement.</w:t>
      </w:r>
    </w:p>
    <w:p w14:paraId="3529C3F4" w14:textId="06C063B1" w:rsidR="00732388" w:rsidRDefault="008F535A" w:rsidP="00D623A6">
      <w:pPr>
        <w:pStyle w:val="Heading1"/>
      </w:pPr>
      <w:r>
        <w:t>Discussion</w:t>
      </w:r>
    </w:p>
    <w:p w14:paraId="5A38AC2C" w14:textId="769338B0" w:rsidR="004948F3" w:rsidRPr="004948F3" w:rsidRDefault="004948F3" w:rsidP="004948F3">
      <w:pPr>
        <w:pStyle w:val="Heading2"/>
      </w:pPr>
      <w:r>
        <w:t>Mechanism to maintain the same understanding of simultaneous reception</w:t>
      </w:r>
    </w:p>
    <w:p w14:paraId="75D3E366" w14:textId="34C1ADF4" w:rsidR="006E585B" w:rsidRDefault="006E585B" w:rsidP="006E585B">
      <w:pPr>
        <w:pStyle w:val="0Maintext"/>
        <w:spacing w:after="120" w:afterAutospacing="0" w:line="240" w:lineRule="auto"/>
        <w:ind w:firstLine="0"/>
        <w:rPr>
          <w:lang w:val="en-US" w:eastAsia="zh-CN"/>
        </w:rPr>
      </w:pPr>
      <w:r>
        <w:rPr>
          <w:lang w:val="en-US" w:eastAsia="zh-CN"/>
        </w:rPr>
        <w:t>Rel-16 failed to define the mechanisms on how to maintain the same understanding between gNB and UE whether two beams can be received by UE simultaneously or not. Consequently, gNB may indicate the beams that cannot be received by UE simultaneously. Then UE may fail to decode the PDSCH correctly. In Rel-15, the group</w:t>
      </w:r>
      <w:r w:rsidR="004948F3">
        <w:rPr>
          <w:lang w:val="en-US" w:eastAsia="zh-CN"/>
        </w:rPr>
        <w:t>-</w:t>
      </w:r>
      <w:r>
        <w:rPr>
          <w:lang w:val="en-US" w:eastAsia="zh-CN"/>
        </w:rPr>
        <w:t>based beam report is supported, where UE can report the two beams which can be simultaneously received. But UE should not be able to always receive the reported two beams simultaneously. As a result of movement or rotation, UE may turn off some panels or the best panel to receive one beam may be changed as shown in Figure 1.</w:t>
      </w:r>
      <w:r w:rsidR="004948F3">
        <w:rPr>
          <w:lang w:val="en-US" w:eastAsia="zh-CN"/>
        </w:rPr>
        <w:t xml:space="preserve"> So, for each report instance, an effective time window should be defined, where gNB can assume the beams reported within X ms can be received simultaneously by UE.</w:t>
      </w:r>
    </w:p>
    <w:p w14:paraId="5CC7B371" w14:textId="77777777" w:rsidR="006E585B" w:rsidRDefault="006E585B" w:rsidP="006E585B">
      <w:pPr>
        <w:pStyle w:val="0Maintext"/>
        <w:spacing w:after="120" w:afterAutospacing="0" w:line="240" w:lineRule="auto"/>
        <w:ind w:firstLine="0"/>
        <w:jc w:val="center"/>
        <w:rPr>
          <w:lang w:val="en-US" w:eastAsia="zh-CN"/>
        </w:rPr>
      </w:pPr>
      <w:r w:rsidRPr="003C49B0">
        <w:rPr>
          <w:noProof/>
          <w:lang w:val="en-US" w:eastAsia="zh-CN"/>
        </w:rPr>
        <w:lastRenderedPageBreak/>
        <w:drawing>
          <wp:inline distT="0" distB="0" distL="0" distR="0" wp14:anchorId="71936450" wp14:editId="3E7C4FEB">
            <wp:extent cx="5727700" cy="2918460"/>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2918460"/>
                    </a:xfrm>
                    <a:prstGeom prst="rect">
                      <a:avLst/>
                    </a:prstGeom>
                  </pic:spPr>
                </pic:pic>
              </a:graphicData>
            </a:graphic>
          </wp:inline>
        </w:drawing>
      </w:r>
    </w:p>
    <w:p w14:paraId="743BEBC3" w14:textId="5F022EC6" w:rsidR="006E585B" w:rsidRPr="003C49B0" w:rsidRDefault="006E585B" w:rsidP="006E585B">
      <w:pPr>
        <w:pStyle w:val="0Maintext"/>
        <w:spacing w:after="120" w:afterAutospacing="0" w:line="240" w:lineRule="auto"/>
        <w:ind w:firstLine="0"/>
        <w:jc w:val="center"/>
        <w:rPr>
          <w:b/>
          <w:bCs/>
          <w:lang w:val="en-US" w:eastAsia="zh-CN"/>
        </w:rPr>
      </w:pPr>
      <w:r w:rsidRPr="003C49B0">
        <w:rPr>
          <w:b/>
          <w:bCs/>
          <w:lang w:val="en-US" w:eastAsia="zh-CN"/>
        </w:rPr>
        <w:t xml:space="preserve">Figure </w:t>
      </w:r>
      <w:r>
        <w:rPr>
          <w:b/>
          <w:bCs/>
          <w:lang w:val="en-US" w:eastAsia="zh-CN"/>
        </w:rPr>
        <w:t>1</w:t>
      </w:r>
      <w:r w:rsidRPr="003C49B0">
        <w:rPr>
          <w:b/>
          <w:bCs/>
          <w:lang w:val="en-US" w:eastAsia="zh-CN"/>
        </w:rPr>
        <w:t xml:space="preserve">: </w:t>
      </w:r>
      <w:r>
        <w:rPr>
          <w:b/>
          <w:bCs/>
          <w:lang w:val="en-US" w:eastAsia="zh-CN"/>
        </w:rPr>
        <w:t xml:space="preserve">Status </w:t>
      </w:r>
      <w:r w:rsidRPr="003C49B0">
        <w:rPr>
          <w:b/>
          <w:bCs/>
          <w:lang w:val="en-US" w:eastAsia="zh-CN"/>
        </w:rPr>
        <w:t>change o</w:t>
      </w:r>
      <w:r>
        <w:rPr>
          <w:b/>
          <w:bCs/>
          <w:lang w:val="en-US" w:eastAsia="zh-CN"/>
        </w:rPr>
        <w:t xml:space="preserve">n </w:t>
      </w:r>
      <w:r w:rsidRPr="003C49B0">
        <w:rPr>
          <w:b/>
          <w:bCs/>
          <w:lang w:val="en-US" w:eastAsia="zh-CN"/>
        </w:rPr>
        <w:t>simultaneous reception</w:t>
      </w:r>
    </w:p>
    <w:p w14:paraId="39D07F64" w14:textId="6E766A0C" w:rsidR="006E585B" w:rsidRDefault="006E585B" w:rsidP="006E585B">
      <w:pPr>
        <w:pStyle w:val="0Maintext"/>
        <w:spacing w:after="120" w:afterAutospacing="0" w:line="240" w:lineRule="auto"/>
        <w:ind w:firstLine="0"/>
        <w:rPr>
          <w:lang w:val="en-US" w:eastAsia="zh-CN"/>
        </w:rPr>
      </w:pPr>
      <w:r>
        <w:rPr>
          <w:lang w:val="en-US" w:eastAsia="zh-CN"/>
        </w:rPr>
        <w:t xml:space="preserve">Therefore, to improve the system performance for multi-TRP operation, it is important to study the mechanism to maintain the same understanding between gNB and UE whether two beams can be received simultaneously or not. </w:t>
      </w:r>
    </w:p>
    <w:p w14:paraId="0EB3FA5F" w14:textId="5142F803" w:rsidR="006E585B" w:rsidRDefault="006E585B" w:rsidP="006E585B">
      <w:pPr>
        <w:pStyle w:val="0Maintext"/>
        <w:spacing w:after="120" w:afterAutospacing="0" w:line="240" w:lineRule="auto"/>
        <w:ind w:firstLine="0"/>
        <w:rPr>
          <w:lang w:val="en-US" w:eastAsia="zh-CN"/>
        </w:rPr>
      </w:pPr>
      <w:r>
        <w:rPr>
          <w:lang w:val="en-US" w:eastAsia="zh-CN"/>
        </w:rPr>
        <w:t>In addition, in Rel-16, the default PDSCH beam is defined to be based on two TCI states for both single-DCI and multi-DCI mode. However, as shown in Figure 1, it would be possible that UE cannot identify any beam from a particular TRP. In that way, it is not reasonable to mandate UE to keep using two beams to buffer downlink data, which would waste UE power.</w:t>
      </w:r>
    </w:p>
    <w:p w14:paraId="2998B63A" w14:textId="4AF589DE" w:rsidR="006E585B" w:rsidRDefault="006E585B" w:rsidP="006E585B">
      <w:pPr>
        <w:pStyle w:val="0Maintext"/>
        <w:spacing w:after="120" w:afterAutospacing="0" w:line="240" w:lineRule="auto"/>
        <w:ind w:firstLine="0"/>
        <w:rPr>
          <w:b/>
          <w:bCs/>
          <w:i/>
          <w:iCs/>
          <w:lang w:val="en-US" w:eastAsia="zh-CN"/>
        </w:rPr>
      </w:pPr>
      <w:r w:rsidRPr="005327E9">
        <w:rPr>
          <w:b/>
          <w:bCs/>
          <w:i/>
          <w:iCs/>
          <w:lang w:val="en-US" w:eastAsia="zh-CN"/>
        </w:rPr>
        <w:t xml:space="preserve">Proposal </w:t>
      </w:r>
      <w:r>
        <w:rPr>
          <w:b/>
          <w:bCs/>
          <w:i/>
          <w:iCs/>
          <w:lang w:val="en-US" w:eastAsia="zh-CN"/>
        </w:rPr>
        <w:t>1</w:t>
      </w:r>
      <w:r w:rsidRPr="005327E9">
        <w:rPr>
          <w:b/>
          <w:bCs/>
          <w:i/>
          <w:iCs/>
          <w:lang w:val="en-US" w:eastAsia="zh-CN"/>
        </w:rPr>
        <w:t xml:space="preserve">: </w:t>
      </w:r>
      <w:r w:rsidR="001B37AB">
        <w:rPr>
          <w:b/>
          <w:bCs/>
          <w:i/>
          <w:iCs/>
          <w:lang w:val="en-US" w:eastAsia="zh-CN"/>
        </w:rPr>
        <w:t>Support to define</w:t>
      </w:r>
      <w:r w:rsidRPr="005327E9">
        <w:rPr>
          <w:b/>
          <w:bCs/>
          <w:i/>
          <w:iCs/>
          <w:lang w:val="en-US" w:eastAsia="zh-CN"/>
        </w:rPr>
        <w:t xml:space="preserve"> the mechanism to maintain the same understanding between gNB and UE on whether two TCI states can be received simultaneously or not.</w:t>
      </w:r>
    </w:p>
    <w:p w14:paraId="5C315CA6" w14:textId="54E9E29D" w:rsidR="004948F3" w:rsidRPr="005327E9" w:rsidRDefault="004948F3" w:rsidP="004948F3">
      <w:pPr>
        <w:pStyle w:val="0Maintext"/>
        <w:numPr>
          <w:ilvl w:val="0"/>
          <w:numId w:val="26"/>
        </w:numPr>
        <w:spacing w:after="120" w:afterAutospacing="0" w:line="240" w:lineRule="auto"/>
        <w:rPr>
          <w:b/>
          <w:bCs/>
          <w:i/>
          <w:iCs/>
          <w:lang w:val="en-US" w:eastAsia="zh-CN"/>
        </w:rPr>
      </w:pPr>
      <w:r>
        <w:rPr>
          <w:b/>
          <w:bCs/>
          <w:i/>
          <w:iCs/>
          <w:lang w:val="en-US" w:eastAsia="zh-CN"/>
        </w:rPr>
        <w:t xml:space="preserve">The starting point could be to define an effective timing window for a group-based beam report, </w:t>
      </w:r>
      <w:r w:rsidRPr="004948F3">
        <w:rPr>
          <w:b/>
          <w:bCs/>
          <w:i/>
          <w:iCs/>
          <w:lang w:val="en-US" w:eastAsia="zh-CN"/>
        </w:rPr>
        <w:t>where gNB can assume the beams reported within X ms can be received simultaneously by UE.</w:t>
      </w:r>
    </w:p>
    <w:p w14:paraId="62E26AFF" w14:textId="48560E4E" w:rsidR="004948F3" w:rsidRDefault="004948F3" w:rsidP="004948F3">
      <w:pPr>
        <w:pStyle w:val="Heading2"/>
      </w:pPr>
      <w:r>
        <w:t>QCL-TypeD collision handling</w:t>
      </w:r>
    </w:p>
    <w:p w14:paraId="4D7CC0B9" w14:textId="5E71C3BB" w:rsidR="004948F3" w:rsidRDefault="004948F3" w:rsidP="006E585B">
      <w:pPr>
        <w:pStyle w:val="0Maintext"/>
        <w:spacing w:after="120" w:afterAutospacing="0" w:line="240" w:lineRule="auto"/>
        <w:ind w:firstLine="0"/>
        <w:rPr>
          <w:lang w:val="en-US" w:eastAsia="zh-CN"/>
        </w:rPr>
      </w:pPr>
      <w:r>
        <w:rPr>
          <w:lang w:val="en-US" w:eastAsia="zh-CN"/>
        </w:rPr>
        <w:t>In Rel-15, some QCL-TypeD collision handling rules have been defined as shown in Table 1.</w:t>
      </w:r>
    </w:p>
    <w:p w14:paraId="7D23D716" w14:textId="0BA09C76" w:rsidR="004948F3" w:rsidRPr="004948F3" w:rsidRDefault="004948F3" w:rsidP="004948F3">
      <w:pPr>
        <w:pStyle w:val="0Maintext"/>
        <w:spacing w:after="120" w:afterAutospacing="0" w:line="240" w:lineRule="auto"/>
        <w:ind w:firstLine="0"/>
        <w:jc w:val="center"/>
        <w:rPr>
          <w:b/>
          <w:bCs/>
          <w:lang w:val="en-US" w:eastAsia="zh-CN"/>
        </w:rPr>
      </w:pPr>
      <w:r w:rsidRPr="004948F3">
        <w:rPr>
          <w:b/>
          <w:bCs/>
          <w:lang w:val="en-US" w:eastAsia="zh-CN"/>
        </w:rPr>
        <w:t>Table 1: QCL-TypeD collision handling rules</w:t>
      </w:r>
    </w:p>
    <w:tbl>
      <w:tblPr>
        <w:tblStyle w:val="GridTable4-Accent2"/>
        <w:tblW w:w="0" w:type="auto"/>
        <w:tblLook w:val="04A0" w:firstRow="1" w:lastRow="0" w:firstColumn="1" w:lastColumn="0" w:noHBand="0" w:noVBand="1"/>
      </w:tblPr>
      <w:tblGrid>
        <w:gridCol w:w="3003"/>
        <w:gridCol w:w="1954"/>
        <w:gridCol w:w="4053"/>
      </w:tblGrid>
      <w:tr w:rsidR="004948F3" w:rsidRPr="003411AA" w14:paraId="0594BCDF" w14:textId="77777777" w:rsidTr="004948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B9F17C9" w14:textId="77777777" w:rsidR="004948F3" w:rsidRPr="003411AA" w:rsidRDefault="004948F3" w:rsidP="00B9698A">
            <w:pPr>
              <w:rPr>
                <w:sz w:val="20"/>
                <w:szCs w:val="20"/>
              </w:rPr>
            </w:pPr>
            <w:r w:rsidRPr="003411AA">
              <w:rPr>
                <w:sz w:val="20"/>
                <w:szCs w:val="20"/>
              </w:rPr>
              <w:t>Signal 1</w:t>
            </w:r>
          </w:p>
        </w:tc>
        <w:tc>
          <w:tcPr>
            <w:tcW w:w="1954" w:type="dxa"/>
          </w:tcPr>
          <w:p w14:paraId="11604759"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Signal 2</w:t>
            </w:r>
          </w:p>
        </w:tc>
        <w:tc>
          <w:tcPr>
            <w:tcW w:w="4053" w:type="dxa"/>
          </w:tcPr>
          <w:p w14:paraId="359DE631"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Behavior</w:t>
            </w:r>
          </w:p>
        </w:tc>
      </w:tr>
      <w:tr w:rsidR="004948F3" w:rsidRPr="003411AA" w14:paraId="337E244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361E6D09" w14:textId="77777777" w:rsidR="004948F3" w:rsidRPr="004948F3" w:rsidRDefault="004948F3" w:rsidP="00B9698A">
            <w:pPr>
              <w:rPr>
                <w:sz w:val="20"/>
                <w:szCs w:val="20"/>
              </w:rPr>
            </w:pPr>
            <w:r w:rsidRPr="004948F3">
              <w:rPr>
                <w:sz w:val="20"/>
                <w:szCs w:val="20"/>
              </w:rPr>
              <w:t>PDSCH (scheduling offset before threshold)</w:t>
            </w:r>
          </w:p>
        </w:tc>
        <w:tc>
          <w:tcPr>
            <w:tcW w:w="1954" w:type="dxa"/>
          </w:tcPr>
          <w:p w14:paraId="4849CAAF"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51F1824D" w14:textId="2089114F"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Prioritize PDCCH. </w:t>
            </w:r>
          </w:p>
          <w:p w14:paraId="39209EF0" w14:textId="2BD9D949"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388739E"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0943398D" w14:textId="77777777" w:rsidR="004948F3" w:rsidRPr="004948F3" w:rsidRDefault="004948F3" w:rsidP="00B9698A">
            <w:pPr>
              <w:rPr>
                <w:sz w:val="20"/>
                <w:szCs w:val="20"/>
              </w:rPr>
            </w:pPr>
            <w:r w:rsidRPr="004948F3">
              <w:rPr>
                <w:sz w:val="20"/>
                <w:szCs w:val="20"/>
              </w:rPr>
              <w:t>PDSCH</w:t>
            </w:r>
          </w:p>
        </w:tc>
        <w:tc>
          <w:tcPr>
            <w:tcW w:w="1954" w:type="dxa"/>
          </w:tcPr>
          <w:p w14:paraId="730383B4" w14:textId="41B5A05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68E0740B" w14:textId="3BE846AF"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QCL. </w:t>
            </w:r>
          </w:p>
          <w:p w14:paraId="05D0BA51" w14:textId="4569CB6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24D0167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14C84519" w14:textId="5034D062" w:rsidR="004948F3" w:rsidRPr="004948F3" w:rsidRDefault="004948F3" w:rsidP="00B9698A">
            <w:pPr>
              <w:rPr>
                <w:sz w:val="20"/>
                <w:szCs w:val="20"/>
              </w:rPr>
            </w:pPr>
            <w:r w:rsidRPr="004948F3">
              <w:rPr>
                <w:sz w:val="20"/>
                <w:szCs w:val="20"/>
              </w:rPr>
              <w:t xml:space="preserve">CSI-RS </w:t>
            </w:r>
            <w:r w:rsidR="00B3072B">
              <w:rPr>
                <w:sz w:val="20"/>
                <w:szCs w:val="20"/>
              </w:rPr>
              <w:t>not used for RLM/BFD/RLM</w:t>
            </w:r>
          </w:p>
        </w:tc>
        <w:tc>
          <w:tcPr>
            <w:tcW w:w="1954" w:type="dxa"/>
          </w:tcPr>
          <w:p w14:paraId="620F9B9C"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0BD18D1C" w14:textId="0C302668"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Not allowed for CSI-RS with repetition=on, for other CSI-RS, gNB should ensure QCL. </w:t>
            </w:r>
          </w:p>
          <w:p w14:paraId="011F320F" w14:textId="58EC8E3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C659A9B"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5DFB4CE4" w14:textId="5CB67912" w:rsidR="004948F3" w:rsidRPr="004948F3" w:rsidRDefault="004948F3" w:rsidP="00B9698A">
            <w:pPr>
              <w:rPr>
                <w:sz w:val="20"/>
                <w:szCs w:val="20"/>
              </w:rPr>
            </w:pPr>
            <w:r w:rsidRPr="004948F3">
              <w:rPr>
                <w:sz w:val="20"/>
                <w:szCs w:val="20"/>
              </w:rPr>
              <w:t xml:space="preserve">CSI-RS </w:t>
            </w:r>
            <w:r w:rsidR="00B3072B">
              <w:rPr>
                <w:sz w:val="20"/>
                <w:szCs w:val="20"/>
              </w:rPr>
              <w:t>not used for RLM/BFD/CBD</w:t>
            </w:r>
          </w:p>
        </w:tc>
        <w:tc>
          <w:tcPr>
            <w:tcW w:w="1954" w:type="dxa"/>
          </w:tcPr>
          <w:p w14:paraId="0CC1B4DD" w14:textId="7BDE7A8E"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7E443EF9" w14:textId="1BB44D24"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same QCL. </w:t>
            </w:r>
          </w:p>
          <w:p w14:paraId="1B30DB9B" w14:textId="2E3E255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67A4484A"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0E90939" w14:textId="77777777" w:rsidR="004948F3" w:rsidRPr="004948F3" w:rsidRDefault="004948F3" w:rsidP="00B9698A">
            <w:pPr>
              <w:rPr>
                <w:sz w:val="20"/>
                <w:szCs w:val="20"/>
              </w:rPr>
            </w:pPr>
            <w:r w:rsidRPr="004948F3">
              <w:rPr>
                <w:sz w:val="20"/>
                <w:szCs w:val="20"/>
              </w:rPr>
              <w:t>Aperiodic CSI-RS for CSI (scheduling offset below threshold)</w:t>
            </w:r>
          </w:p>
        </w:tc>
        <w:tc>
          <w:tcPr>
            <w:tcW w:w="1954" w:type="dxa"/>
          </w:tcPr>
          <w:p w14:paraId="27138C2D"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signal</w:t>
            </w:r>
          </w:p>
        </w:tc>
        <w:tc>
          <w:tcPr>
            <w:tcW w:w="4053" w:type="dxa"/>
          </w:tcPr>
          <w:p w14:paraId="61CF4559" w14:textId="5074A805"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lang w:val="en-US"/>
              </w:rPr>
            </w:pPr>
            <w:r w:rsidRPr="004948F3">
              <w:rPr>
                <w:b/>
                <w:bCs/>
                <w:sz w:val="20"/>
                <w:szCs w:val="20"/>
              </w:rPr>
              <w:t>Prioritize other signal.</w:t>
            </w:r>
          </w:p>
        </w:tc>
      </w:tr>
      <w:tr w:rsidR="004948F3" w:rsidRPr="003411AA" w14:paraId="73956102"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4761A5F" w14:textId="77777777" w:rsidR="004948F3" w:rsidRPr="004948F3" w:rsidRDefault="004948F3" w:rsidP="00B9698A">
            <w:pPr>
              <w:rPr>
                <w:sz w:val="20"/>
                <w:szCs w:val="20"/>
              </w:rPr>
            </w:pPr>
            <w:r w:rsidRPr="004948F3">
              <w:rPr>
                <w:sz w:val="20"/>
                <w:szCs w:val="20"/>
              </w:rPr>
              <w:t>PDCCH</w:t>
            </w:r>
          </w:p>
        </w:tc>
        <w:tc>
          <w:tcPr>
            <w:tcW w:w="1954" w:type="dxa"/>
          </w:tcPr>
          <w:p w14:paraId="61DE8008"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PDCCH</w:t>
            </w:r>
          </w:p>
        </w:tc>
        <w:tc>
          <w:tcPr>
            <w:tcW w:w="4053" w:type="dxa"/>
          </w:tcPr>
          <w:p w14:paraId="2FE2A4B9" w14:textId="667501C0"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Follow a priority rule</w:t>
            </w:r>
          </w:p>
          <w:p w14:paraId="0CE97760" w14:textId="265EA926"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107D0FA0"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44B78057" w14:textId="77777777" w:rsidR="004948F3" w:rsidRPr="004948F3" w:rsidRDefault="004948F3" w:rsidP="00B9698A">
            <w:pPr>
              <w:rPr>
                <w:sz w:val="20"/>
                <w:szCs w:val="20"/>
              </w:rPr>
            </w:pPr>
            <w:r w:rsidRPr="004948F3">
              <w:rPr>
                <w:sz w:val="20"/>
                <w:szCs w:val="20"/>
              </w:rPr>
              <w:t>SSB/CSI-RS for RLM/BFD</w:t>
            </w:r>
          </w:p>
        </w:tc>
        <w:tc>
          <w:tcPr>
            <w:tcW w:w="1954" w:type="dxa"/>
          </w:tcPr>
          <w:p w14:paraId="4EC351C3"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45D4D1AF" w14:textId="17B218D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Not allowed</w:t>
            </w:r>
          </w:p>
        </w:tc>
      </w:tr>
      <w:tr w:rsidR="004948F3" w:rsidRPr="003411AA" w14:paraId="7BC00B7D"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8CD39EE" w14:textId="77777777" w:rsidR="004948F3" w:rsidRPr="004948F3" w:rsidRDefault="004948F3" w:rsidP="00B9698A">
            <w:pPr>
              <w:rPr>
                <w:sz w:val="20"/>
                <w:szCs w:val="20"/>
              </w:rPr>
            </w:pPr>
            <w:r w:rsidRPr="004948F3">
              <w:rPr>
                <w:sz w:val="20"/>
                <w:szCs w:val="20"/>
              </w:rPr>
              <w:t>SSB/CSI-RS for CBD</w:t>
            </w:r>
          </w:p>
        </w:tc>
        <w:tc>
          <w:tcPr>
            <w:tcW w:w="1954" w:type="dxa"/>
          </w:tcPr>
          <w:p w14:paraId="643419E7"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3DD2A6D5" w14:textId="62CC95D3"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Not allowed</w:t>
            </w:r>
          </w:p>
          <w:p w14:paraId="20E491F4" w14:textId="26703385"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bl>
    <w:p w14:paraId="76B8D53F" w14:textId="5F4F838D" w:rsidR="004948F3" w:rsidRDefault="004948F3" w:rsidP="004948F3">
      <w:pPr>
        <w:rPr>
          <w:sz w:val="20"/>
          <w:szCs w:val="20"/>
        </w:rPr>
      </w:pPr>
    </w:p>
    <w:p w14:paraId="0876942A" w14:textId="66F6B034" w:rsidR="00B3072B" w:rsidRDefault="00B3072B" w:rsidP="004948F3">
      <w:pPr>
        <w:rPr>
          <w:sz w:val="20"/>
          <w:szCs w:val="20"/>
        </w:rPr>
      </w:pPr>
      <w:r>
        <w:rPr>
          <w:sz w:val="20"/>
          <w:szCs w:val="20"/>
        </w:rPr>
        <w:lastRenderedPageBreak/>
        <w:t>It can be observed that for QCL-TypeD collsion handling, there can be 2 typical solutions.</w:t>
      </w:r>
    </w:p>
    <w:p w14:paraId="58B839E3" w14:textId="6E9BB5E7" w:rsidR="00B3072B" w:rsidRDefault="00B3072B" w:rsidP="00B3072B">
      <w:pPr>
        <w:pStyle w:val="ListParagraph"/>
        <w:numPr>
          <w:ilvl w:val="0"/>
          <w:numId w:val="26"/>
        </w:numPr>
        <w:ind w:leftChars="0"/>
        <w:rPr>
          <w:szCs w:val="20"/>
        </w:rPr>
      </w:pPr>
      <w:r>
        <w:rPr>
          <w:szCs w:val="20"/>
        </w:rPr>
        <w:t>Option 1: Define a priority rule and use the QCL-TypeD based on the signal with highest priority to receive all signals</w:t>
      </w:r>
    </w:p>
    <w:p w14:paraId="669E5B86" w14:textId="6DA02B25" w:rsidR="00B3072B" w:rsidRPr="00B3072B" w:rsidRDefault="00B3072B" w:rsidP="00B3072B">
      <w:pPr>
        <w:pStyle w:val="ListParagraph"/>
        <w:numPr>
          <w:ilvl w:val="0"/>
          <w:numId w:val="26"/>
        </w:numPr>
        <w:ind w:leftChars="0"/>
        <w:rPr>
          <w:szCs w:val="20"/>
        </w:rPr>
      </w:pPr>
      <w:r>
        <w:rPr>
          <w:szCs w:val="20"/>
        </w:rPr>
        <w:t>Option 2: Define a scheduling restriction to avoid such case by either mandating gNB to ensure the same QCL-TypeD or disallowing gNB to multiplex two signals in FDM manner</w:t>
      </w:r>
    </w:p>
    <w:p w14:paraId="7907736D" w14:textId="34A40A5A" w:rsidR="004948F3" w:rsidRDefault="004948F3" w:rsidP="006E585B">
      <w:pPr>
        <w:pStyle w:val="0Maintext"/>
        <w:spacing w:after="120" w:afterAutospacing="0" w:line="240" w:lineRule="auto"/>
        <w:ind w:firstLine="0"/>
        <w:rPr>
          <w:lang w:eastAsia="zh-CN"/>
        </w:rPr>
      </w:pPr>
    </w:p>
    <w:p w14:paraId="142DE55B" w14:textId="17539F41" w:rsidR="00B3072B" w:rsidRDefault="00B3072B" w:rsidP="006E585B">
      <w:pPr>
        <w:pStyle w:val="0Maintext"/>
        <w:spacing w:after="120" w:afterAutospacing="0" w:line="240" w:lineRule="auto"/>
        <w:ind w:firstLine="0"/>
        <w:rPr>
          <w:lang w:eastAsia="zh-CN"/>
        </w:rPr>
      </w:pPr>
      <w:r>
        <w:rPr>
          <w:lang w:eastAsia="zh-CN"/>
        </w:rPr>
        <w:t xml:space="preserve">For UE with capability of simultaneous reception, it should be able to receive some downlink signals with two different QCL-typeD assumption by two panels. For such kind of UE, the restriction defined in Table 1 can be released. </w:t>
      </w:r>
      <w:r w:rsidR="001B37AB">
        <w:rPr>
          <w:lang w:eastAsia="zh-CN"/>
        </w:rPr>
        <w:t>Then it could be possible that gNB can transmit some signalling in the same symbols as SSB/CSI-RS for RLM/BFD/CBD. Since there could be multiple SSB/CSI-RS configured for such functionality, to allow simultaneous transmission could help to improve the system performance a lot.</w:t>
      </w:r>
    </w:p>
    <w:p w14:paraId="7E1150B5" w14:textId="1268B02E" w:rsidR="001B37AB" w:rsidRPr="001B37AB" w:rsidRDefault="001B37AB" w:rsidP="006E585B">
      <w:pPr>
        <w:pStyle w:val="0Maintext"/>
        <w:spacing w:after="120" w:afterAutospacing="0" w:line="240" w:lineRule="auto"/>
        <w:ind w:firstLine="0"/>
        <w:rPr>
          <w:b/>
          <w:bCs/>
          <w:i/>
          <w:iCs/>
          <w:lang w:eastAsia="zh-CN"/>
        </w:rPr>
      </w:pPr>
      <w:r w:rsidRPr="001B37AB">
        <w:rPr>
          <w:b/>
          <w:bCs/>
          <w:i/>
          <w:iCs/>
          <w:lang w:eastAsia="zh-CN"/>
        </w:rPr>
        <w:t xml:space="preserve">Proposal 2: </w:t>
      </w:r>
      <w:r>
        <w:rPr>
          <w:b/>
          <w:bCs/>
          <w:i/>
          <w:iCs/>
          <w:lang w:eastAsia="zh-CN"/>
        </w:rPr>
        <w:t>Support</w:t>
      </w:r>
      <w:r w:rsidRPr="001B37AB">
        <w:rPr>
          <w:b/>
          <w:bCs/>
          <w:i/>
          <w:iCs/>
          <w:lang w:eastAsia="zh-CN"/>
        </w:rPr>
        <w:t xml:space="preserve"> </w:t>
      </w:r>
      <w:r>
        <w:rPr>
          <w:b/>
          <w:bCs/>
          <w:i/>
          <w:iCs/>
          <w:lang w:eastAsia="zh-CN"/>
        </w:rPr>
        <w:t>to</w:t>
      </w:r>
      <w:r w:rsidRPr="001B37AB">
        <w:rPr>
          <w:b/>
          <w:bCs/>
          <w:i/>
          <w:iCs/>
          <w:lang w:eastAsia="zh-CN"/>
        </w:rPr>
        <w:t xml:space="preserve"> release some constraints due to QCL-TypeD collision for UEs that can receive two beams simultaneously, where the starting point is to release the constraints for SSB/CSI-RS for RLM/BFD/CBD.</w:t>
      </w:r>
    </w:p>
    <w:p w14:paraId="31028A5C" w14:textId="77734E88" w:rsidR="001B37AB" w:rsidRPr="001B37AB" w:rsidRDefault="001B37AB" w:rsidP="001B37AB">
      <w:pPr>
        <w:pStyle w:val="Heading2"/>
      </w:pPr>
      <w:r>
        <w:t>BFR Enhancement</w:t>
      </w:r>
    </w:p>
    <w:p w14:paraId="62938CE2" w14:textId="7D9A1C28" w:rsidR="006E585B" w:rsidRDefault="006E585B" w:rsidP="006E585B">
      <w:pPr>
        <w:pStyle w:val="0Maintext"/>
        <w:spacing w:after="120" w:afterAutospacing="0" w:line="240" w:lineRule="auto"/>
        <w:ind w:firstLine="0"/>
        <w:rPr>
          <w:lang w:val="en-US" w:eastAsia="zh-CN"/>
        </w:rPr>
      </w:pPr>
      <w:r>
        <w:rPr>
          <w:lang w:val="en-US" w:eastAsia="zh-CN"/>
        </w:rPr>
        <w:t xml:space="preserve">In addition, in Rel-15/Rel-16, the beam failure recovery is supported. But the beam failure recovery is performed per UE per CC. Thus, for multi-TRP operation, UE can only trigger beam failure recover request only when both TRPs fail. But for non-ideal backhaul scenario, it would be helpful that UE can recover the beam from one TRP as soon as possible. Currently beam failure recovery is the only way for UE to trigger possible beam switching. Without per TRP beam failure recovery, UE can only change the beam until it reports the new beam by a normal beam report and receives the beam indication signaling. </w:t>
      </w:r>
    </w:p>
    <w:p w14:paraId="5190B4AF" w14:textId="77777777" w:rsidR="006E585B" w:rsidRDefault="006E585B" w:rsidP="006E585B">
      <w:pPr>
        <w:pStyle w:val="0Maintext"/>
        <w:spacing w:after="120" w:afterAutospacing="0" w:line="240" w:lineRule="auto"/>
        <w:ind w:firstLine="0"/>
        <w:rPr>
          <w:lang w:val="en-US" w:eastAsia="zh-CN"/>
        </w:rPr>
      </w:pPr>
      <w:r>
        <w:rPr>
          <w:lang w:val="en-US" w:eastAsia="zh-CN"/>
        </w:rPr>
        <w:t>To reduce the latency, one possible way is to configure periodic beam report, but gNB may need to configure periodic beam report for each TRP, which would increase the overhead. So with regard to the latency and overhead, it is better to extend the SCell BFR mechanism to multi-TRP operation, where UE can report the BFRQ as soon as it identifies beam failure for one TRP.</w:t>
      </w:r>
    </w:p>
    <w:p w14:paraId="37707DB5" w14:textId="32745FF4" w:rsidR="006E585B" w:rsidRDefault="006E585B" w:rsidP="006E585B">
      <w:pPr>
        <w:pStyle w:val="0Maintext"/>
        <w:spacing w:after="120" w:afterAutospacing="0" w:line="240" w:lineRule="auto"/>
        <w:ind w:firstLine="0"/>
        <w:rPr>
          <w:b/>
          <w:bCs/>
          <w:i/>
          <w:iCs/>
          <w:lang w:val="en-US" w:eastAsia="zh-CN"/>
        </w:rPr>
      </w:pPr>
      <w:r w:rsidRPr="00085223">
        <w:rPr>
          <w:b/>
          <w:bCs/>
          <w:i/>
          <w:iCs/>
          <w:lang w:val="en-US" w:eastAsia="zh-CN"/>
        </w:rPr>
        <w:t xml:space="preserve">Proposal </w:t>
      </w:r>
      <w:r w:rsidR="001B37AB">
        <w:rPr>
          <w:b/>
          <w:bCs/>
          <w:i/>
          <w:iCs/>
          <w:lang w:val="en-US" w:eastAsia="zh-CN"/>
        </w:rPr>
        <w:t>3</w:t>
      </w:r>
      <w:r w:rsidRPr="00085223">
        <w:rPr>
          <w:b/>
          <w:bCs/>
          <w:i/>
          <w:iCs/>
          <w:lang w:val="en-US" w:eastAsia="zh-CN"/>
        </w:rPr>
        <w:t xml:space="preserve">: </w:t>
      </w:r>
      <w:r w:rsidR="001B37AB">
        <w:rPr>
          <w:b/>
          <w:bCs/>
          <w:i/>
          <w:iCs/>
          <w:lang w:val="en-US" w:eastAsia="zh-CN"/>
        </w:rPr>
        <w:t>Support</w:t>
      </w:r>
      <w:r w:rsidRPr="00085223">
        <w:rPr>
          <w:b/>
          <w:bCs/>
          <w:i/>
          <w:iCs/>
          <w:lang w:val="en-US" w:eastAsia="zh-CN"/>
        </w:rPr>
        <w:t xml:space="preserve"> to extend the SCell BFR mechanisms to support TRP-specific beam failure recovery</w:t>
      </w:r>
      <w:r>
        <w:rPr>
          <w:b/>
          <w:bCs/>
          <w:i/>
          <w:iCs/>
          <w:lang w:val="en-US" w:eastAsia="zh-CN"/>
        </w:rPr>
        <w:t xml:space="preserve"> with regard to non-ideal backhaul scenario</w:t>
      </w:r>
      <w:r w:rsidRPr="00085223">
        <w:rPr>
          <w:b/>
          <w:bCs/>
          <w:i/>
          <w:iCs/>
          <w:lang w:val="en-US" w:eastAsia="zh-CN"/>
        </w:rPr>
        <w:t>.</w:t>
      </w:r>
    </w:p>
    <w:p w14:paraId="07F0A8B8" w14:textId="509153E3" w:rsidR="001B37AB" w:rsidRPr="001B37AB" w:rsidRDefault="001B37AB" w:rsidP="001B37AB">
      <w:pPr>
        <w:pStyle w:val="Heading2"/>
      </w:pPr>
      <w:r>
        <w:t>BM Enhancement for Inter-cell operation</w:t>
      </w:r>
    </w:p>
    <w:p w14:paraId="79202D1B" w14:textId="3DE243B7" w:rsidR="006E585B" w:rsidRDefault="006E585B" w:rsidP="006E585B">
      <w:pPr>
        <w:pStyle w:val="0Maintext"/>
        <w:spacing w:after="120" w:afterAutospacing="0" w:line="240" w:lineRule="auto"/>
        <w:ind w:firstLine="0"/>
        <w:rPr>
          <w:lang w:val="en-US" w:eastAsia="zh-CN"/>
        </w:rPr>
      </w:pPr>
      <w:r>
        <w:rPr>
          <w:lang w:val="en-US" w:eastAsia="zh-CN"/>
        </w:rPr>
        <w:t>In addition, the inter-cell multi-TRP operation is to be supported, where the beam management reference signals may be from another physical cell. As shown in Figure 2, the reference signal for BFD may be from different cells and the reference signal for CBD may be from another cell. Therefore, it should be supported to configure the physical cell ID for beam management reference signal, e.g. RS for L1-RSRP/L1-SINR measurement, BFD RS, CBD RS.</w:t>
      </w:r>
    </w:p>
    <w:p w14:paraId="179435BA" w14:textId="1B4939DE" w:rsidR="006E585B" w:rsidRDefault="006E585B" w:rsidP="006E585B">
      <w:pPr>
        <w:pStyle w:val="0Maintext"/>
        <w:spacing w:after="120" w:afterAutospacing="0" w:line="240" w:lineRule="auto"/>
        <w:ind w:firstLine="0"/>
        <w:jc w:val="center"/>
        <w:rPr>
          <w:lang w:val="en-US" w:eastAsia="zh-CN"/>
        </w:rPr>
      </w:pPr>
      <w:r w:rsidRPr="006E585B">
        <w:rPr>
          <w:noProof/>
          <w:lang w:val="en-US" w:eastAsia="zh-CN"/>
        </w:rPr>
        <w:lastRenderedPageBreak/>
        <w:drawing>
          <wp:inline distT="0" distB="0" distL="0" distR="0" wp14:anchorId="633DA987" wp14:editId="5F803544">
            <wp:extent cx="3988191" cy="31003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007498" cy="3115363"/>
                    </a:xfrm>
                    <a:prstGeom prst="rect">
                      <a:avLst/>
                    </a:prstGeom>
                  </pic:spPr>
                </pic:pic>
              </a:graphicData>
            </a:graphic>
          </wp:inline>
        </w:drawing>
      </w:r>
    </w:p>
    <w:p w14:paraId="7A6147E7" w14:textId="503AB449" w:rsidR="006E585B" w:rsidRPr="006E585B" w:rsidRDefault="006E585B" w:rsidP="006E585B">
      <w:pPr>
        <w:pStyle w:val="0Maintext"/>
        <w:spacing w:after="120" w:afterAutospacing="0" w:line="240" w:lineRule="auto"/>
        <w:ind w:firstLine="0"/>
        <w:jc w:val="center"/>
        <w:rPr>
          <w:b/>
          <w:bCs/>
          <w:lang w:val="en-US" w:eastAsia="zh-CN"/>
        </w:rPr>
      </w:pPr>
      <w:r w:rsidRPr="006E585B">
        <w:rPr>
          <w:b/>
          <w:bCs/>
          <w:lang w:val="en-US" w:eastAsia="zh-CN"/>
        </w:rPr>
        <w:t>Figure 2: Potential BFR Scenario for multi-TRP operation</w:t>
      </w:r>
    </w:p>
    <w:p w14:paraId="6386583C" w14:textId="67EA84B9" w:rsidR="006E585B" w:rsidRPr="00085223" w:rsidRDefault="006E585B" w:rsidP="006E585B">
      <w:pPr>
        <w:pStyle w:val="0Maintext"/>
        <w:spacing w:after="120" w:afterAutospacing="0" w:line="240" w:lineRule="auto"/>
        <w:ind w:firstLine="0"/>
        <w:rPr>
          <w:b/>
          <w:bCs/>
          <w:i/>
          <w:iCs/>
          <w:lang w:val="en-US" w:eastAsia="zh-CN"/>
        </w:rPr>
      </w:pPr>
      <w:r>
        <w:rPr>
          <w:b/>
          <w:bCs/>
          <w:i/>
          <w:iCs/>
          <w:lang w:val="en-US" w:eastAsia="zh-CN"/>
        </w:rPr>
        <w:t xml:space="preserve">Proposal </w:t>
      </w:r>
      <w:r w:rsidR="001B37AB">
        <w:rPr>
          <w:b/>
          <w:bCs/>
          <w:i/>
          <w:iCs/>
          <w:lang w:val="en-US" w:eastAsia="zh-CN"/>
        </w:rPr>
        <w:t>4</w:t>
      </w:r>
      <w:r>
        <w:rPr>
          <w:b/>
          <w:bCs/>
          <w:i/>
          <w:iCs/>
          <w:lang w:val="en-US" w:eastAsia="zh-CN"/>
        </w:rPr>
        <w:t>: Support</w:t>
      </w:r>
      <w:r w:rsidRPr="006E585B">
        <w:rPr>
          <w:b/>
          <w:bCs/>
          <w:i/>
          <w:iCs/>
          <w:lang w:val="en-US" w:eastAsia="zh-CN"/>
        </w:rPr>
        <w:t xml:space="preserve"> to configure beam management reference signal</w:t>
      </w:r>
      <w:r>
        <w:rPr>
          <w:b/>
          <w:bCs/>
          <w:i/>
          <w:iCs/>
          <w:lang w:val="en-US" w:eastAsia="zh-CN"/>
        </w:rPr>
        <w:t xml:space="preserve"> from neighbor cell to support inter-cell multi-TRP operation,</w:t>
      </w:r>
      <w:r w:rsidRPr="006E585B">
        <w:rPr>
          <w:b/>
          <w:bCs/>
          <w:i/>
          <w:iCs/>
          <w:lang w:val="en-US" w:eastAsia="zh-CN"/>
        </w:rPr>
        <w:t xml:space="preserve"> e.g. RS for L1-RSRP/L1-SINR measurement, BFD RS, CBD RS.</w:t>
      </w:r>
    </w:p>
    <w:p w14:paraId="319B6700" w14:textId="2C7FF69F" w:rsidR="007A1F9E" w:rsidRDefault="007A1F9E" w:rsidP="007A1F9E">
      <w:pPr>
        <w:pStyle w:val="Heading1"/>
      </w:pPr>
      <w:r>
        <w:t>Conclusion</w:t>
      </w:r>
    </w:p>
    <w:p w14:paraId="493C61C7" w14:textId="64378CEF"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475A4C">
        <w:rPr>
          <w:lang w:val="en-US" w:eastAsia="zh-CN"/>
        </w:rPr>
        <w:t xml:space="preserve">inter-cell </w:t>
      </w:r>
      <w:r w:rsidR="002454C7">
        <w:rPr>
          <w:lang w:val="en-US" w:eastAsia="zh-CN"/>
        </w:rPr>
        <w:t>multi-TRP enhancement</w:t>
      </w:r>
      <w:r>
        <w:rPr>
          <w:lang w:val="en-US" w:eastAsia="zh-CN"/>
        </w:rPr>
        <w:t>. Based on the discussion, the following proposals have been achieved.</w:t>
      </w:r>
    </w:p>
    <w:p w14:paraId="7ADA26F5" w14:textId="77777777" w:rsidR="001B37AB" w:rsidRDefault="001B37AB" w:rsidP="001B37AB">
      <w:pPr>
        <w:pStyle w:val="0Maintext"/>
        <w:spacing w:after="120" w:afterAutospacing="0" w:line="240" w:lineRule="auto"/>
        <w:ind w:firstLine="0"/>
        <w:rPr>
          <w:b/>
          <w:bCs/>
          <w:i/>
          <w:iCs/>
          <w:lang w:val="en-US" w:eastAsia="zh-CN"/>
        </w:rPr>
      </w:pPr>
      <w:r w:rsidRPr="005327E9">
        <w:rPr>
          <w:b/>
          <w:bCs/>
          <w:i/>
          <w:iCs/>
          <w:lang w:val="en-US" w:eastAsia="zh-CN"/>
        </w:rPr>
        <w:t xml:space="preserve">Proposal </w:t>
      </w:r>
      <w:r>
        <w:rPr>
          <w:b/>
          <w:bCs/>
          <w:i/>
          <w:iCs/>
          <w:lang w:val="en-US" w:eastAsia="zh-CN"/>
        </w:rPr>
        <w:t>1</w:t>
      </w:r>
      <w:r w:rsidRPr="005327E9">
        <w:rPr>
          <w:b/>
          <w:bCs/>
          <w:i/>
          <w:iCs/>
          <w:lang w:val="en-US" w:eastAsia="zh-CN"/>
        </w:rPr>
        <w:t xml:space="preserve">: </w:t>
      </w:r>
      <w:r>
        <w:rPr>
          <w:b/>
          <w:bCs/>
          <w:i/>
          <w:iCs/>
          <w:lang w:val="en-US" w:eastAsia="zh-CN"/>
        </w:rPr>
        <w:t>Support to define</w:t>
      </w:r>
      <w:r w:rsidRPr="005327E9">
        <w:rPr>
          <w:b/>
          <w:bCs/>
          <w:i/>
          <w:iCs/>
          <w:lang w:val="en-US" w:eastAsia="zh-CN"/>
        </w:rPr>
        <w:t xml:space="preserve"> the mechanism to maintain the same understanding between gNB and UE on whether two TCI states can be received simultaneously or not.</w:t>
      </w:r>
    </w:p>
    <w:p w14:paraId="4777E5BE" w14:textId="5CCE9840" w:rsidR="001B37AB" w:rsidRPr="001B37AB" w:rsidRDefault="001B37AB" w:rsidP="001B37AB">
      <w:pPr>
        <w:pStyle w:val="0Maintext"/>
        <w:numPr>
          <w:ilvl w:val="0"/>
          <w:numId w:val="26"/>
        </w:numPr>
        <w:spacing w:after="120" w:afterAutospacing="0" w:line="240" w:lineRule="auto"/>
        <w:rPr>
          <w:b/>
          <w:bCs/>
          <w:i/>
          <w:iCs/>
          <w:lang w:val="en-US" w:eastAsia="zh-CN"/>
        </w:rPr>
      </w:pPr>
      <w:r>
        <w:rPr>
          <w:b/>
          <w:bCs/>
          <w:i/>
          <w:iCs/>
          <w:lang w:val="en-US" w:eastAsia="zh-CN"/>
        </w:rPr>
        <w:t xml:space="preserve">The starting point could be to define an effective timing window for a group-based beam report, </w:t>
      </w:r>
      <w:r w:rsidRPr="004948F3">
        <w:rPr>
          <w:b/>
          <w:bCs/>
          <w:i/>
          <w:iCs/>
          <w:lang w:val="en-US" w:eastAsia="zh-CN"/>
        </w:rPr>
        <w:t>where gNB can assume the beams reported within X ms can be received simultaneously by UE.</w:t>
      </w:r>
    </w:p>
    <w:p w14:paraId="3FC52F3A" w14:textId="77777777" w:rsidR="001B37AB" w:rsidRPr="001B37AB" w:rsidRDefault="001B37AB" w:rsidP="001B37AB">
      <w:pPr>
        <w:pStyle w:val="0Maintext"/>
        <w:spacing w:after="120" w:afterAutospacing="0" w:line="240" w:lineRule="auto"/>
        <w:ind w:firstLine="0"/>
        <w:rPr>
          <w:b/>
          <w:bCs/>
          <w:i/>
          <w:iCs/>
          <w:lang w:eastAsia="zh-CN"/>
        </w:rPr>
      </w:pPr>
      <w:r w:rsidRPr="001B37AB">
        <w:rPr>
          <w:b/>
          <w:bCs/>
          <w:i/>
          <w:iCs/>
          <w:lang w:eastAsia="zh-CN"/>
        </w:rPr>
        <w:t xml:space="preserve">Proposal 2: </w:t>
      </w:r>
      <w:r>
        <w:rPr>
          <w:b/>
          <w:bCs/>
          <w:i/>
          <w:iCs/>
          <w:lang w:eastAsia="zh-CN"/>
        </w:rPr>
        <w:t>Support</w:t>
      </w:r>
      <w:r w:rsidRPr="001B37AB">
        <w:rPr>
          <w:b/>
          <w:bCs/>
          <w:i/>
          <w:iCs/>
          <w:lang w:eastAsia="zh-CN"/>
        </w:rPr>
        <w:t xml:space="preserve"> </w:t>
      </w:r>
      <w:r>
        <w:rPr>
          <w:b/>
          <w:bCs/>
          <w:i/>
          <w:iCs/>
          <w:lang w:eastAsia="zh-CN"/>
        </w:rPr>
        <w:t>to</w:t>
      </w:r>
      <w:r w:rsidRPr="001B37AB">
        <w:rPr>
          <w:b/>
          <w:bCs/>
          <w:i/>
          <w:iCs/>
          <w:lang w:eastAsia="zh-CN"/>
        </w:rPr>
        <w:t xml:space="preserve"> release some constraints due to QCL-TypeD collision for UEs that can receive two beams simultaneously, where the starting point is to release the constraints for SSB/CSI-RS for RLM/BFD/CBD.</w:t>
      </w:r>
    </w:p>
    <w:p w14:paraId="3A7B8CD9" w14:textId="77777777" w:rsidR="001B37AB" w:rsidRDefault="001B37AB" w:rsidP="001B37AB">
      <w:pPr>
        <w:pStyle w:val="0Maintext"/>
        <w:spacing w:after="120" w:afterAutospacing="0" w:line="240" w:lineRule="auto"/>
        <w:ind w:firstLine="0"/>
        <w:rPr>
          <w:b/>
          <w:bCs/>
          <w:i/>
          <w:iCs/>
          <w:lang w:val="en-US" w:eastAsia="zh-CN"/>
        </w:rPr>
      </w:pPr>
      <w:r w:rsidRPr="00085223">
        <w:rPr>
          <w:b/>
          <w:bCs/>
          <w:i/>
          <w:iCs/>
          <w:lang w:val="en-US" w:eastAsia="zh-CN"/>
        </w:rPr>
        <w:t xml:space="preserve">Proposal </w:t>
      </w:r>
      <w:r>
        <w:rPr>
          <w:b/>
          <w:bCs/>
          <w:i/>
          <w:iCs/>
          <w:lang w:val="en-US" w:eastAsia="zh-CN"/>
        </w:rPr>
        <w:t>3</w:t>
      </w:r>
      <w:r w:rsidRPr="00085223">
        <w:rPr>
          <w:b/>
          <w:bCs/>
          <w:i/>
          <w:iCs/>
          <w:lang w:val="en-US" w:eastAsia="zh-CN"/>
        </w:rPr>
        <w:t xml:space="preserve">: </w:t>
      </w:r>
      <w:r>
        <w:rPr>
          <w:b/>
          <w:bCs/>
          <w:i/>
          <w:iCs/>
          <w:lang w:val="en-US" w:eastAsia="zh-CN"/>
        </w:rPr>
        <w:t>Support</w:t>
      </w:r>
      <w:r w:rsidRPr="00085223">
        <w:rPr>
          <w:b/>
          <w:bCs/>
          <w:i/>
          <w:iCs/>
          <w:lang w:val="en-US" w:eastAsia="zh-CN"/>
        </w:rPr>
        <w:t xml:space="preserve"> to extend the SCell BFR mechanisms to support TRP-specific beam failure recovery</w:t>
      </w:r>
      <w:r>
        <w:rPr>
          <w:b/>
          <w:bCs/>
          <w:i/>
          <w:iCs/>
          <w:lang w:val="en-US" w:eastAsia="zh-CN"/>
        </w:rPr>
        <w:t xml:space="preserve"> with regard to non-ideal backhaul scenario</w:t>
      </w:r>
      <w:r w:rsidRPr="00085223">
        <w:rPr>
          <w:b/>
          <w:bCs/>
          <w:i/>
          <w:iCs/>
          <w:lang w:val="en-US" w:eastAsia="zh-CN"/>
        </w:rPr>
        <w:t>.</w:t>
      </w:r>
    </w:p>
    <w:p w14:paraId="20255735" w14:textId="57795555" w:rsidR="006E585B" w:rsidRPr="00085223" w:rsidRDefault="006E585B" w:rsidP="006E585B">
      <w:pPr>
        <w:pStyle w:val="0Maintext"/>
        <w:spacing w:after="120" w:afterAutospacing="0" w:line="240" w:lineRule="auto"/>
        <w:ind w:firstLine="0"/>
        <w:rPr>
          <w:b/>
          <w:bCs/>
          <w:i/>
          <w:iCs/>
          <w:lang w:val="en-US" w:eastAsia="zh-CN"/>
        </w:rPr>
      </w:pPr>
      <w:r>
        <w:rPr>
          <w:b/>
          <w:bCs/>
          <w:i/>
          <w:iCs/>
          <w:lang w:val="en-US" w:eastAsia="zh-CN"/>
        </w:rPr>
        <w:t xml:space="preserve">Proposal </w:t>
      </w:r>
      <w:r w:rsidR="001B37AB">
        <w:rPr>
          <w:b/>
          <w:bCs/>
          <w:i/>
          <w:iCs/>
          <w:lang w:val="en-US" w:eastAsia="zh-CN"/>
        </w:rPr>
        <w:t>4</w:t>
      </w:r>
      <w:r>
        <w:rPr>
          <w:b/>
          <w:bCs/>
          <w:i/>
          <w:iCs/>
          <w:lang w:val="en-US" w:eastAsia="zh-CN"/>
        </w:rPr>
        <w:t>: Support</w:t>
      </w:r>
      <w:r w:rsidRPr="006E585B">
        <w:rPr>
          <w:b/>
          <w:bCs/>
          <w:i/>
          <w:iCs/>
          <w:lang w:val="en-US" w:eastAsia="zh-CN"/>
        </w:rPr>
        <w:t xml:space="preserve"> to configure beam management reference signal</w:t>
      </w:r>
      <w:r>
        <w:rPr>
          <w:b/>
          <w:bCs/>
          <w:i/>
          <w:iCs/>
          <w:lang w:val="en-US" w:eastAsia="zh-CN"/>
        </w:rPr>
        <w:t xml:space="preserve"> from neighbor cell to support inter-cell multi-TRP operation,</w:t>
      </w:r>
      <w:r w:rsidRPr="006E585B">
        <w:rPr>
          <w:b/>
          <w:bCs/>
          <w:i/>
          <w:iCs/>
          <w:lang w:val="en-US" w:eastAsia="zh-CN"/>
        </w:rPr>
        <w:t xml:space="preserve"> e.g. RS for L1-RSRP/L1-SINR measurement, BFD RS, CBD RS.</w:t>
      </w:r>
    </w:p>
    <w:p w14:paraId="5B90B1C9" w14:textId="77777777" w:rsidR="00523D91" w:rsidRDefault="00523D91" w:rsidP="007A1F9E">
      <w:pPr>
        <w:pStyle w:val="0Maintext"/>
        <w:spacing w:after="120" w:afterAutospacing="0" w:line="240" w:lineRule="auto"/>
        <w:ind w:firstLine="0"/>
        <w:rPr>
          <w:b/>
          <w:bCs/>
          <w:i/>
          <w:iCs/>
          <w:lang w:val="en-US" w:eastAsia="zh-CN"/>
        </w:rPr>
      </w:pPr>
    </w:p>
    <w:p w14:paraId="0F6713CA" w14:textId="77777777" w:rsidR="007A1F9E" w:rsidRDefault="007A1F9E" w:rsidP="00361704">
      <w:pPr>
        <w:pStyle w:val="0Maintext"/>
        <w:spacing w:after="120" w:afterAutospacing="0" w:line="240" w:lineRule="auto"/>
        <w:ind w:firstLine="0"/>
        <w:rPr>
          <w:lang w:val="en-US" w:eastAsia="zh-CN"/>
        </w:rPr>
      </w:pPr>
    </w:p>
    <w:p w14:paraId="19B8461C" w14:textId="77777777" w:rsidR="007A1F9E" w:rsidRPr="007A1F9E" w:rsidRDefault="007A1F9E" w:rsidP="00361704">
      <w:pPr>
        <w:pStyle w:val="0Maintext"/>
        <w:spacing w:after="120" w:afterAutospacing="0" w:line="240" w:lineRule="auto"/>
        <w:ind w:firstLine="0"/>
        <w:rPr>
          <w:lang w:val="en-US"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82D2D8E"/>
    <w:multiLevelType w:val="hybridMultilevel"/>
    <w:tmpl w:val="A394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CBB0A71"/>
    <w:multiLevelType w:val="hybridMultilevel"/>
    <w:tmpl w:val="5D224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23"/>
  </w:num>
  <w:num w:numId="6">
    <w:abstractNumId w:val="24"/>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7"/>
  </w:num>
  <w:num w:numId="15">
    <w:abstractNumId w:val="13"/>
  </w:num>
  <w:num w:numId="16">
    <w:abstractNumId w:val="21"/>
  </w:num>
  <w:num w:numId="17">
    <w:abstractNumId w:val="16"/>
  </w:num>
  <w:num w:numId="18">
    <w:abstractNumId w:val="18"/>
  </w:num>
  <w:num w:numId="19">
    <w:abstractNumId w:val="11"/>
  </w:num>
  <w:num w:numId="20">
    <w:abstractNumId w:val="25"/>
  </w:num>
  <w:num w:numId="21">
    <w:abstractNumId w:val="19"/>
  </w:num>
  <w:num w:numId="22">
    <w:abstractNumId w:val="14"/>
  </w:num>
  <w:num w:numId="23">
    <w:abstractNumId w:val="20"/>
  </w:num>
  <w:num w:numId="24">
    <w:abstractNumId w:val="12"/>
  </w:num>
  <w:num w:numId="25">
    <w:abstractNumId w:val="15"/>
  </w:num>
  <w:num w:numId="2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A1890"/>
    <w:rsid w:val="000D0F78"/>
    <w:rsid w:val="000D2660"/>
    <w:rsid w:val="000E10FE"/>
    <w:rsid w:val="000F2C70"/>
    <w:rsid w:val="0010269A"/>
    <w:rsid w:val="0012163E"/>
    <w:rsid w:val="00127219"/>
    <w:rsid w:val="0013108B"/>
    <w:rsid w:val="00140849"/>
    <w:rsid w:val="001511AC"/>
    <w:rsid w:val="00153773"/>
    <w:rsid w:val="00161E92"/>
    <w:rsid w:val="00162C20"/>
    <w:rsid w:val="0018214E"/>
    <w:rsid w:val="0018607A"/>
    <w:rsid w:val="00193222"/>
    <w:rsid w:val="00194BBD"/>
    <w:rsid w:val="001A5A42"/>
    <w:rsid w:val="001A5F2D"/>
    <w:rsid w:val="001B37AB"/>
    <w:rsid w:val="001D4551"/>
    <w:rsid w:val="001E62A2"/>
    <w:rsid w:val="001F1442"/>
    <w:rsid w:val="00203A0D"/>
    <w:rsid w:val="002134C9"/>
    <w:rsid w:val="0022367D"/>
    <w:rsid w:val="00232779"/>
    <w:rsid w:val="002454C7"/>
    <w:rsid w:val="00245D27"/>
    <w:rsid w:val="00252B41"/>
    <w:rsid w:val="00266E0F"/>
    <w:rsid w:val="0026707D"/>
    <w:rsid w:val="0027181A"/>
    <w:rsid w:val="00274F27"/>
    <w:rsid w:val="00284AB0"/>
    <w:rsid w:val="00285B13"/>
    <w:rsid w:val="002948FF"/>
    <w:rsid w:val="0029769A"/>
    <w:rsid w:val="002A274D"/>
    <w:rsid w:val="002A5B21"/>
    <w:rsid w:val="002B0171"/>
    <w:rsid w:val="002B72F3"/>
    <w:rsid w:val="002C4EFD"/>
    <w:rsid w:val="002E6F65"/>
    <w:rsid w:val="0030554A"/>
    <w:rsid w:val="003105DC"/>
    <w:rsid w:val="00315F36"/>
    <w:rsid w:val="003262D0"/>
    <w:rsid w:val="00326AED"/>
    <w:rsid w:val="0034417B"/>
    <w:rsid w:val="00344AE3"/>
    <w:rsid w:val="00351207"/>
    <w:rsid w:val="00361704"/>
    <w:rsid w:val="00361D33"/>
    <w:rsid w:val="00366F52"/>
    <w:rsid w:val="00367DFA"/>
    <w:rsid w:val="003802E1"/>
    <w:rsid w:val="0038526E"/>
    <w:rsid w:val="003856D0"/>
    <w:rsid w:val="003B620C"/>
    <w:rsid w:val="003C49B0"/>
    <w:rsid w:val="003D51F2"/>
    <w:rsid w:val="003E66DF"/>
    <w:rsid w:val="003E75B6"/>
    <w:rsid w:val="00417FC9"/>
    <w:rsid w:val="00446F00"/>
    <w:rsid w:val="00461B15"/>
    <w:rsid w:val="00475A4C"/>
    <w:rsid w:val="004948F3"/>
    <w:rsid w:val="004A2991"/>
    <w:rsid w:val="004A41EF"/>
    <w:rsid w:val="004B3124"/>
    <w:rsid w:val="004B368D"/>
    <w:rsid w:val="004B4D8D"/>
    <w:rsid w:val="004B74CC"/>
    <w:rsid w:val="004C4A14"/>
    <w:rsid w:val="005062CA"/>
    <w:rsid w:val="00517ADD"/>
    <w:rsid w:val="00523D91"/>
    <w:rsid w:val="005327E9"/>
    <w:rsid w:val="0053782C"/>
    <w:rsid w:val="00556671"/>
    <w:rsid w:val="0057794A"/>
    <w:rsid w:val="00583230"/>
    <w:rsid w:val="0059417B"/>
    <w:rsid w:val="00596063"/>
    <w:rsid w:val="005B0F7A"/>
    <w:rsid w:val="005B1AD1"/>
    <w:rsid w:val="005B6997"/>
    <w:rsid w:val="005D45F7"/>
    <w:rsid w:val="005D5233"/>
    <w:rsid w:val="005F7A0E"/>
    <w:rsid w:val="00604C3D"/>
    <w:rsid w:val="0061765C"/>
    <w:rsid w:val="00622552"/>
    <w:rsid w:val="00626534"/>
    <w:rsid w:val="00631A14"/>
    <w:rsid w:val="00634AF5"/>
    <w:rsid w:val="00636D7B"/>
    <w:rsid w:val="00641951"/>
    <w:rsid w:val="00645994"/>
    <w:rsid w:val="006531B1"/>
    <w:rsid w:val="00666868"/>
    <w:rsid w:val="006A45D6"/>
    <w:rsid w:val="006A57C0"/>
    <w:rsid w:val="006C4E0D"/>
    <w:rsid w:val="006D54CF"/>
    <w:rsid w:val="006E585B"/>
    <w:rsid w:val="006E6598"/>
    <w:rsid w:val="006F07E3"/>
    <w:rsid w:val="006F0EC9"/>
    <w:rsid w:val="00707829"/>
    <w:rsid w:val="007128A2"/>
    <w:rsid w:val="00720EBF"/>
    <w:rsid w:val="00727B93"/>
    <w:rsid w:val="00732388"/>
    <w:rsid w:val="0073426D"/>
    <w:rsid w:val="00751E2A"/>
    <w:rsid w:val="0075517A"/>
    <w:rsid w:val="007570AB"/>
    <w:rsid w:val="00770366"/>
    <w:rsid w:val="007727CB"/>
    <w:rsid w:val="0078114E"/>
    <w:rsid w:val="007A1F9E"/>
    <w:rsid w:val="007E3054"/>
    <w:rsid w:val="007E554B"/>
    <w:rsid w:val="007E6FF6"/>
    <w:rsid w:val="007F128C"/>
    <w:rsid w:val="007F4737"/>
    <w:rsid w:val="00806E6E"/>
    <w:rsid w:val="00820D52"/>
    <w:rsid w:val="00822058"/>
    <w:rsid w:val="00860F75"/>
    <w:rsid w:val="0086391A"/>
    <w:rsid w:val="00882A4D"/>
    <w:rsid w:val="00887C4A"/>
    <w:rsid w:val="0089138A"/>
    <w:rsid w:val="00894787"/>
    <w:rsid w:val="00894B5F"/>
    <w:rsid w:val="008A0861"/>
    <w:rsid w:val="008A25E9"/>
    <w:rsid w:val="008A5F33"/>
    <w:rsid w:val="008A65A1"/>
    <w:rsid w:val="008B24BF"/>
    <w:rsid w:val="008C2187"/>
    <w:rsid w:val="008D0789"/>
    <w:rsid w:val="008D6AE1"/>
    <w:rsid w:val="008F11CC"/>
    <w:rsid w:val="008F535A"/>
    <w:rsid w:val="00901D2D"/>
    <w:rsid w:val="0090338E"/>
    <w:rsid w:val="00906E5E"/>
    <w:rsid w:val="00911E05"/>
    <w:rsid w:val="00911EFA"/>
    <w:rsid w:val="009169C4"/>
    <w:rsid w:val="00916E49"/>
    <w:rsid w:val="00920227"/>
    <w:rsid w:val="00922BBD"/>
    <w:rsid w:val="00923A3D"/>
    <w:rsid w:val="009242FD"/>
    <w:rsid w:val="00927D99"/>
    <w:rsid w:val="009351FA"/>
    <w:rsid w:val="00935AC3"/>
    <w:rsid w:val="0095741E"/>
    <w:rsid w:val="009622B6"/>
    <w:rsid w:val="00965BA8"/>
    <w:rsid w:val="00977119"/>
    <w:rsid w:val="00983F09"/>
    <w:rsid w:val="00985108"/>
    <w:rsid w:val="00985F99"/>
    <w:rsid w:val="00992D77"/>
    <w:rsid w:val="00993596"/>
    <w:rsid w:val="00997267"/>
    <w:rsid w:val="009D18CF"/>
    <w:rsid w:val="009D1C4F"/>
    <w:rsid w:val="009E0E57"/>
    <w:rsid w:val="009E16AA"/>
    <w:rsid w:val="009F58CE"/>
    <w:rsid w:val="009F7D20"/>
    <w:rsid w:val="00A352F0"/>
    <w:rsid w:val="00A41EE3"/>
    <w:rsid w:val="00A805B9"/>
    <w:rsid w:val="00A80DF8"/>
    <w:rsid w:val="00A86777"/>
    <w:rsid w:val="00A93DEE"/>
    <w:rsid w:val="00A95A78"/>
    <w:rsid w:val="00AA4EE3"/>
    <w:rsid w:val="00AB0956"/>
    <w:rsid w:val="00AB26E1"/>
    <w:rsid w:val="00AC2430"/>
    <w:rsid w:val="00AD1997"/>
    <w:rsid w:val="00AF13FC"/>
    <w:rsid w:val="00AF7DC9"/>
    <w:rsid w:val="00B0669A"/>
    <w:rsid w:val="00B12FE5"/>
    <w:rsid w:val="00B23EB7"/>
    <w:rsid w:val="00B3072B"/>
    <w:rsid w:val="00B4058C"/>
    <w:rsid w:val="00B658E6"/>
    <w:rsid w:val="00B72388"/>
    <w:rsid w:val="00B81924"/>
    <w:rsid w:val="00B86B50"/>
    <w:rsid w:val="00B875E8"/>
    <w:rsid w:val="00BA2E33"/>
    <w:rsid w:val="00BB64B1"/>
    <w:rsid w:val="00BB7080"/>
    <w:rsid w:val="00BD1C70"/>
    <w:rsid w:val="00BD5870"/>
    <w:rsid w:val="00BE2B6D"/>
    <w:rsid w:val="00BF487F"/>
    <w:rsid w:val="00BF6DEF"/>
    <w:rsid w:val="00C20B5B"/>
    <w:rsid w:val="00C2111A"/>
    <w:rsid w:val="00C25A82"/>
    <w:rsid w:val="00C36E32"/>
    <w:rsid w:val="00C46B5C"/>
    <w:rsid w:val="00C66A4A"/>
    <w:rsid w:val="00C70860"/>
    <w:rsid w:val="00C8088E"/>
    <w:rsid w:val="00C84FE2"/>
    <w:rsid w:val="00CB1134"/>
    <w:rsid w:val="00CB3368"/>
    <w:rsid w:val="00CB39B6"/>
    <w:rsid w:val="00CB5D21"/>
    <w:rsid w:val="00CD27DB"/>
    <w:rsid w:val="00CE171E"/>
    <w:rsid w:val="00CE2EA5"/>
    <w:rsid w:val="00CE7503"/>
    <w:rsid w:val="00D1218B"/>
    <w:rsid w:val="00D177E7"/>
    <w:rsid w:val="00D22343"/>
    <w:rsid w:val="00D263F1"/>
    <w:rsid w:val="00D313A3"/>
    <w:rsid w:val="00D402CA"/>
    <w:rsid w:val="00D44CB2"/>
    <w:rsid w:val="00D45E02"/>
    <w:rsid w:val="00D516C8"/>
    <w:rsid w:val="00D623A6"/>
    <w:rsid w:val="00D82BE1"/>
    <w:rsid w:val="00D9083F"/>
    <w:rsid w:val="00DB1A36"/>
    <w:rsid w:val="00DB481F"/>
    <w:rsid w:val="00DE6C20"/>
    <w:rsid w:val="00DF0066"/>
    <w:rsid w:val="00E00694"/>
    <w:rsid w:val="00E06A06"/>
    <w:rsid w:val="00E10633"/>
    <w:rsid w:val="00E11B95"/>
    <w:rsid w:val="00E327AE"/>
    <w:rsid w:val="00E55EB5"/>
    <w:rsid w:val="00E56A0E"/>
    <w:rsid w:val="00E60394"/>
    <w:rsid w:val="00E80518"/>
    <w:rsid w:val="00E852C2"/>
    <w:rsid w:val="00EA73C1"/>
    <w:rsid w:val="00EB4CAE"/>
    <w:rsid w:val="00EC0F55"/>
    <w:rsid w:val="00EC2A35"/>
    <w:rsid w:val="00ED0C58"/>
    <w:rsid w:val="00EE18CC"/>
    <w:rsid w:val="00EF7114"/>
    <w:rsid w:val="00F01BD8"/>
    <w:rsid w:val="00F05BCC"/>
    <w:rsid w:val="00F17D02"/>
    <w:rsid w:val="00F24869"/>
    <w:rsid w:val="00F37734"/>
    <w:rsid w:val="00F419A6"/>
    <w:rsid w:val="00F43CD1"/>
    <w:rsid w:val="00F763E7"/>
    <w:rsid w:val="00F86C35"/>
    <w:rsid w:val="00F874FE"/>
    <w:rsid w:val="00F87CB0"/>
    <w:rsid w:val="00FA0560"/>
    <w:rsid w:val="00FA48C3"/>
    <w:rsid w:val="00FA538C"/>
    <w:rsid w:val="00FE2969"/>
    <w:rsid w:val="00FE455C"/>
    <w:rsid w:val="00FE5522"/>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1221</Words>
  <Characters>6963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5</cp:revision>
  <dcterms:created xsi:type="dcterms:W3CDTF">2020-08-04T09:59:00Z</dcterms:created>
  <dcterms:modified xsi:type="dcterms:W3CDTF">2020-08-07T05:42:00Z</dcterms:modified>
</cp:coreProperties>
</file>